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FE" w:rsidRPr="008F40FE" w:rsidRDefault="008F40FE" w:rsidP="008F40F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F40FE">
        <w:rPr>
          <w:rFonts w:ascii="Arial" w:hAnsi="Arial" w:cs="Arial"/>
          <w:b/>
          <w:bCs/>
          <w:sz w:val="20"/>
          <w:szCs w:val="20"/>
        </w:rPr>
        <w:t xml:space="preserve">Art. 266 [Tajemnica służbowa] </w:t>
      </w:r>
    </w:p>
    <w:p w:rsidR="008F40FE" w:rsidRPr="008F40FE" w:rsidRDefault="008F40FE" w:rsidP="008F40FE">
      <w:pPr>
        <w:jc w:val="both"/>
        <w:rPr>
          <w:rFonts w:ascii="Arial" w:hAnsi="Arial" w:cs="Arial"/>
          <w:sz w:val="20"/>
          <w:szCs w:val="20"/>
        </w:rPr>
      </w:pPr>
      <w:r w:rsidRPr="008F40FE">
        <w:rPr>
          <w:rFonts w:ascii="Arial" w:hAnsi="Arial" w:cs="Arial"/>
          <w:sz w:val="20"/>
          <w:szCs w:val="20"/>
        </w:rPr>
        <w:t xml:space="preserve">§ 1. Kto, wbrew przepisom ustawy lub przyjętemu na siebie zobowiązaniu, ujawnia lub wykorzystuje informację, z którą zapoznał się w związku z pełnioną funkcją, wykonywaną pracą, działalnością publiczną, społeczną, gospodarczą lub naukową, </w:t>
      </w:r>
    </w:p>
    <w:p w:rsidR="008F40FE" w:rsidRPr="008F40FE" w:rsidRDefault="008F40FE" w:rsidP="008F40FE">
      <w:pPr>
        <w:jc w:val="both"/>
        <w:rPr>
          <w:rFonts w:ascii="Arial" w:hAnsi="Arial" w:cs="Arial"/>
          <w:sz w:val="20"/>
          <w:szCs w:val="20"/>
        </w:rPr>
      </w:pPr>
      <w:r w:rsidRPr="008F40FE">
        <w:rPr>
          <w:rFonts w:ascii="Arial" w:hAnsi="Arial" w:cs="Arial"/>
          <w:sz w:val="20"/>
          <w:szCs w:val="20"/>
        </w:rPr>
        <w:t>podlega grzywnie, karze ograniczenia wolności albo pozbawienia wolności do lat 2.</w:t>
      </w:r>
    </w:p>
    <w:p w:rsidR="008F40FE" w:rsidRPr="008F40FE" w:rsidRDefault="008F40FE" w:rsidP="008F40FE">
      <w:pPr>
        <w:jc w:val="both"/>
        <w:rPr>
          <w:rFonts w:ascii="Arial" w:hAnsi="Arial" w:cs="Arial"/>
          <w:sz w:val="20"/>
          <w:szCs w:val="20"/>
        </w:rPr>
      </w:pP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8F40F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Art. 268 [Niszczenie informacji] </w:t>
      </w:r>
      <w:bookmarkStart w:id="0" w:name="_GoBack"/>
      <w:bookmarkEnd w:id="0"/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8F40FE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§ 1. Kto, nie będąc do tego uprawnionym, niszczy, uszkadza, usuwa lub zmienia zapis istotnej informacji albo w inny sposób udaremnia lub znacznie utrudnia osobie uprawnionej zapoznanie się z nią, </w:t>
      </w: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before="40" w:after="40" w:line="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8F40FE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podlega grzywnie, karze ograniczenia wolności albo pozbawienia wolności do lat 2.</w:t>
      </w: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8F40FE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§ 2. Jeżeli czyn określony w § 1 dotyczy zapisu na informatycznym nośniku danych, sprawca podlega karze pozbawienia wolności do lat 3.</w:t>
      </w: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8F40FE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§ 3. Kto, dopuszczając się czynu określonego w § 1 lub 2, wyrządza znaczną szkodę majątkową, </w:t>
      </w: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before="40" w:after="40" w:line="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8F40FE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podlega karze pozbawienia wolności od 3 miesięcy do lat 5.</w:t>
      </w: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8F40FE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§ 4. Ściganie przestępstwa określonego w § 1-3 następuje na wniosek pokrzywdzonego.</w:t>
      </w:r>
    </w:p>
    <w:p w:rsidR="008F40FE" w:rsidRPr="008F40FE" w:rsidRDefault="008F40FE" w:rsidP="008F40F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8F40FE" w:rsidRPr="008F40FE" w:rsidRDefault="008F40FE" w:rsidP="008F40FE">
      <w:pPr>
        <w:jc w:val="both"/>
        <w:rPr>
          <w:rFonts w:ascii="Arial" w:hAnsi="Arial" w:cs="Arial"/>
          <w:sz w:val="20"/>
          <w:szCs w:val="20"/>
        </w:rPr>
      </w:pPr>
    </w:p>
    <w:p w:rsidR="00311463" w:rsidRDefault="00311463"/>
    <w:sectPr w:rsidR="0031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FE"/>
    <w:rsid w:val="00311463"/>
    <w:rsid w:val="008F40FE"/>
    <w:rsid w:val="00D2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Wójcik-Prządka</dc:creator>
  <cp:lastModifiedBy>Kinga Wójcik-Prządka</cp:lastModifiedBy>
  <cp:revision>1</cp:revision>
  <dcterms:created xsi:type="dcterms:W3CDTF">2019-01-14T14:30:00Z</dcterms:created>
  <dcterms:modified xsi:type="dcterms:W3CDTF">2019-01-14T14:33:00Z</dcterms:modified>
</cp:coreProperties>
</file>